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Pr="00935C61">
        <w:t>МБДОУ</w:t>
      </w:r>
      <w:r w:rsidRPr="00935C61">
        <w:rPr>
          <w:spacing w:val="-4"/>
        </w:rPr>
        <w:t xml:space="preserve"> </w:t>
      </w:r>
      <w:r w:rsidR="00185435">
        <w:t>«Мурминский детский сад № 1</w:t>
      </w:r>
      <w:r w:rsidRPr="00935C61">
        <w:t>»</w:t>
      </w:r>
      <w:r w:rsidRPr="00935C61">
        <w:rPr>
          <w:spacing w:val="-1"/>
        </w:rPr>
        <w:t xml:space="preserve"> </w:t>
      </w: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proofErr w:type="gramStart"/>
      <w:r w:rsidRPr="00935C61">
        <w:t>ДО</w:t>
      </w:r>
      <w:proofErr w:type="gramEnd"/>
    </w:p>
    <w:p w:rsidR="000C399C" w:rsidRPr="00935C61" w:rsidRDefault="00A40A69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 w:rsidRPr="00A40A69"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 детей и содержанию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 w:rsidP="00185435">
      <w:pPr>
        <w:pStyle w:val="a3"/>
        <w:spacing w:before="220"/>
        <w:ind w:left="200" w:right="196" w:firstLine="360"/>
        <w:rPr>
          <w:rFonts w:ascii="Symbol" w:hAnsi="Symbol"/>
        </w:rPr>
      </w:pPr>
      <w:r w:rsidRPr="00935C61">
        <w:rPr>
          <w:b/>
        </w:rPr>
        <w:t>Вывод:</w:t>
      </w:r>
      <w:r>
        <w:t xml:space="preserve"> </w:t>
      </w:r>
    </w:p>
    <w:p w:rsidR="00185435" w:rsidRDefault="00185435">
      <w:pPr>
        <w:jc w:val="both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185435" w:rsidRDefault="00185435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185435" w:rsidRDefault="00185435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Pr="00935C61" w:rsidRDefault="00185435" w:rsidP="00935C61">
      <w:pPr>
        <w:ind w:right="-68"/>
        <w:rPr>
          <w:rFonts w:ascii="Symbol" w:hAnsi="Symbol"/>
          <w:b/>
          <w:sz w:val="24"/>
        </w:rPr>
      </w:pPr>
      <w:r>
        <w:rPr>
          <w:b/>
          <w:bCs/>
          <w:sz w:val="24"/>
          <w:szCs w:val="24"/>
          <w:lang w:eastAsia="ru-RU"/>
        </w:rPr>
        <w:t>Заведующая</w:t>
      </w:r>
      <w:r w:rsidR="00935C61" w:rsidRPr="00935C61">
        <w:rPr>
          <w:b/>
          <w:bCs/>
          <w:sz w:val="24"/>
          <w:szCs w:val="24"/>
          <w:lang w:eastAsia="ru-RU"/>
        </w:rPr>
        <w:t xml:space="preserve"> МБДОУ </w:t>
      </w:r>
      <w:r>
        <w:rPr>
          <w:b/>
          <w:bCs/>
          <w:sz w:val="24"/>
          <w:szCs w:val="24"/>
          <w:lang w:eastAsia="ru-RU"/>
        </w:rPr>
        <w:t>«Мурминский детский сад № 1»</w:t>
      </w:r>
      <w:r w:rsidR="00935C61" w:rsidRPr="00935C61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 </w:t>
      </w:r>
      <w:r w:rsidR="00935C61" w:rsidRPr="00935C61">
        <w:rPr>
          <w:b/>
          <w:sz w:val="24"/>
          <w:szCs w:val="24"/>
          <w:lang w:eastAsia="ru-RU"/>
        </w:rPr>
        <w:t xml:space="preserve">__________ </w:t>
      </w:r>
      <w:r>
        <w:rPr>
          <w:b/>
          <w:sz w:val="24"/>
          <w:szCs w:val="24"/>
          <w:lang w:eastAsia="ru-RU"/>
        </w:rPr>
        <w:t xml:space="preserve">В.И. </w:t>
      </w:r>
      <w:proofErr w:type="spellStart"/>
      <w:r>
        <w:rPr>
          <w:b/>
          <w:sz w:val="24"/>
          <w:szCs w:val="24"/>
          <w:lang w:eastAsia="ru-RU"/>
        </w:rPr>
        <w:t>Луканцова</w:t>
      </w:r>
      <w:proofErr w:type="spellEnd"/>
    </w:p>
    <w:sectPr w:rsidR="00935C61" w:rsidRP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399C"/>
    <w:rsid w:val="000C399C"/>
    <w:rsid w:val="00185435"/>
    <w:rsid w:val="00935C61"/>
    <w:rsid w:val="00A4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murmi</cp:lastModifiedBy>
  <cp:revision>4</cp:revision>
  <cp:lastPrinted>2023-11-10T14:17:00Z</cp:lastPrinted>
  <dcterms:created xsi:type="dcterms:W3CDTF">2023-10-04T12:42:00Z</dcterms:created>
  <dcterms:modified xsi:type="dcterms:W3CDTF">2023-11-10T14:18:00Z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